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43A2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76E84" w:rsidP="00487125">
      <w:pPr>
        <w:spacing w:after="0" w:line="240" w:lineRule="auto"/>
        <w:jc w:val="center"/>
        <w:rPr>
          <w:b/>
          <w:sz w:val="32"/>
          <w:szCs w:val="32"/>
        </w:rPr>
      </w:pPr>
      <w:r>
        <w:rPr>
          <w:b/>
          <w:sz w:val="32"/>
          <w:szCs w:val="32"/>
        </w:rPr>
        <w:t>Teacher Aide</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B44F92" w:rsidRPr="00EB3B21" w:rsidRDefault="00EB3B21" w:rsidP="00DA462D">
      <w:pPr>
        <w:spacing w:after="0"/>
        <w:ind w:left="720" w:hanging="720"/>
      </w:pPr>
      <w:r w:rsidRPr="001F0BD3">
        <w:t xml:space="preserve">or related setting required. </w:t>
      </w:r>
      <w:r w:rsidR="00DA462D">
        <w:t xml:space="preserve"> </w:t>
      </w:r>
      <w:r w:rsidR="00DD2CC4" w:rsidRPr="00EB3B21">
        <w:t>This is a full-time position</w:t>
      </w:r>
      <w:r w:rsidR="00FC3B4D" w:rsidRPr="00EB3B21">
        <w:t>.</w:t>
      </w:r>
    </w:p>
    <w:p w:rsidR="00487125" w:rsidRPr="00487125" w:rsidRDefault="00487125" w:rsidP="00487125">
      <w:pPr>
        <w:spacing w:after="0" w:line="240" w:lineRule="auto"/>
        <w:ind w:left="1440" w:hanging="1440"/>
        <w:rPr>
          <w:b/>
          <w:sz w:val="16"/>
          <w:szCs w:val="16"/>
        </w:rPr>
      </w:pPr>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BF4CD5" w:rsidP="00487125">
      <w:pPr>
        <w:spacing w:after="0" w:line="240" w:lineRule="auto"/>
        <w:ind w:left="1440" w:hanging="1440"/>
        <w:jc w:val="center"/>
        <w:rPr>
          <w:b/>
          <w:sz w:val="28"/>
          <w:szCs w:val="28"/>
        </w:rPr>
      </w:pPr>
      <w:hyperlink r:id="rId7" w:history="1">
        <w:r w:rsidR="00FC4550" w:rsidRPr="00E91456">
          <w:rPr>
            <w:rStyle w:val="Hyperlink"/>
            <w:b/>
            <w:sz w:val="28"/>
            <w:szCs w:val="28"/>
          </w:rPr>
          <w:t>mandrews@communityactionatwork.org</w:t>
        </w:r>
      </w:hyperlink>
    </w:p>
    <w:p w:rsidR="001E2839" w:rsidRDefault="001E2839" w:rsidP="00487125">
      <w:pPr>
        <w:spacing w:after="0" w:line="240" w:lineRule="auto"/>
      </w:pPr>
    </w:p>
    <w:p w:rsidR="00FC4550" w:rsidRDefault="00FC4550" w:rsidP="00FC4550">
      <w:pPr>
        <w:spacing w:after="0" w:line="240" w:lineRule="auto"/>
        <w:jc w:val="center"/>
      </w:pPr>
      <w:r>
        <w:t>***</w:t>
      </w: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p w:rsidR="00FC4550" w:rsidRDefault="00FC4550" w:rsidP="00487125">
      <w:pPr>
        <w:spacing w:after="0" w:line="240" w:lineRule="auto"/>
      </w:pPr>
    </w:p>
    <w:p w:rsidR="00FC4550" w:rsidRDefault="00FC4550" w:rsidP="00487125">
      <w:pPr>
        <w:spacing w:after="0" w:line="240" w:lineRule="auto"/>
      </w:pPr>
    </w:p>
    <w:p w:rsidR="00DA462D" w:rsidRDefault="00DA462D" w:rsidP="00DA462D">
      <w:pPr>
        <w:spacing w:after="0" w:line="240" w:lineRule="auto"/>
        <w:jc w:val="center"/>
        <w:rPr>
          <w:b/>
          <w:u w:val="single"/>
        </w:rPr>
      </w:pPr>
      <w:r w:rsidRPr="00DA462D">
        <w:rPr>
          <w:noProof/>
        </w:rPr>
        <w:drawing>
          <wp:inline distT="0" distB="0" distL="0" distR="0">
            <wp:extent cx="1463019" cy="790575"/>
            <wp:effectExtent l="19050" t="0" r="3831" b="0"/>
            <wp:docPr id="3"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8" cstate="print"/>
                    <a:srcRect/>
                    <a:stretch>
                      <a:fillRect/>
                    </a:stretch>
                  </pic:blipFill>
                  <pic:spPr bwMode="auto">
                    <a:xfrm>
                      <a:off x="0" y="0"/>
                      <a:ext cx="1465242" cy="791776"/>
                    </a:xfrm>
                    <a:prstGeom prst="rect">
                      <a:avLst/>
                    </a:prstGeom>
                    <a:noFill/>
                    <a:ln w="9525">
                      <a:noFill/>
                      <a:miter lim="800000"/>
                      <a:headEnd/>
                      <a:tailEnd/>
                    </a:ln>
                  </pic:spPr>
                </pic:pic>
              </a:graphicData>
            </a:graphic>
          </wp:inline>
        </w:drawing>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1F1D"/>
    <w:rsid w:val="000D62B1"/>
    <w:rsid w:val="000F7C5C"/>
    <w:rsid w:val="00136051"/>
    <w:rsid w:val="0014134F"/>
    <w:rsid w:val="00151398"/>
    <w:rsid w:val="00167240"/>
    <w:rsid w:val="0016740A"/>
    <w:rsid w:val="001832D4"/>
    <w:rsid w:val="001940EF"/>
    <w:rsid w:val="001C3BF3"/>
    <w:rsid w:val="001E2839"/>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61F56"/>
    <w:rsid w:val="00471C08"/>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47D1E"/>
    <w:rsid w:val="00660F32"/>
    <w:rsid w:val="00667D64"/>
    <w:rsid w:val="00685A7F"/>
    <w:rsid w:val="006A5270"/>
    <w:rsid w:val="006B3594"/>
    <w:rsid w:val="006F1532"/>
    <w:rsid w:val="0071188A"/>
    <w:rsid w:val="00714E24"/>
    <w:rsid w:val="0073545F"/>
    <w:rsid w:val="007409A0"/>
    <w:rsid w:val="0074335E"/>
    <w:rsid w:val="007712E6"/>
    <w:rsid w:val="00773B77"/>
    <w:rsid w:val="00785CCF"/>
    <w:rsid w:val="007B230E"/>
    <w:rsid w:val="007D7CF6"/>
    <w:rsid w:val="007E1457"/>
    <w:rsid w:val="007F3291"/>
    <w:rsid w:val="007F3C40"/>
    <w:rsid w:val="00801B48"/>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2007B"/>
    <w:rsid w:val="00A43A2F"/>
    <w:rsid w:val="00A44F99"/>
    <w:rsid w:val="00A8492B"/>
    <w:rsid w:val="00A858F9"/>
    <w:rsid w:val="00AD54E9"/>
    <w:rsid w:val="00AF7B8F"/>
    <w:rsid w:val="00B44F92"/>
    <w:rsid w:val="00B55D66"/>
    <w:rsid w:val="00B56BCF"/>
    <w:rsid w:val="00BA01C2"/>
    <w:rsid w:val="00BD3052"/>
    <w:rsid w:val="00BE13F8"/>
    <w:rsid w:val="00BF4CD5"/>
    <w:rsid w:val="00C00315"/>
    <w:rsid w:val="00C145B2"/>
    <w:rsid w:val="00C34787"/>
    <w:rsid w:val="00C510C0"/>
    <w:rsid w:val="00C90C35"/>
    <w:rsid w:val="00CA29F7"/>
    <w:rsid w:val="00CB4E60"/>
    <w:rsid w:val="00D13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2199F"/>
    <w:rsid w:val="00E22466"/>
    <w:rsid w:val="00E323B8"/>
    <w:rsid w:val="00E334D5"/>
    <w:rsid w:val="00E353DB"/>
    <w:rsid w:val="00E5247B"/>
    <w:rsid w:val="00E8049E"/>
    <w:rsid w:val="00E828DE"/>
    <w:rsid w:val="00E92AEE"/>
    <w:rsid w:val="00EA0F4A"/>
    <w:rsid w:val="00EA1B10"/>
    <w:rsid w:val="00EB1D41"/>
    <w:rsid w:val="00EB3B21"/>
    <w:rsid w:val="00EF14D3"/>
    <w:rsid w:val="00F22EB1"/>
    <w:rsid w:val="00F35336"/>
    <w:rsid w:val="00F35726"/>
    <w:rsid w:val="00F66E31"/>
    <w:rsid w:val="00F71FA0"/>
    <w:rsid w:val="00FB3D3A"/>
    <w:rsid w:val="00FC3B4D"/>
    <w:rsid w:val="00FC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A39E-EFE5-4860-ADCE-F5033EF6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2015-04-27T15:50:00Z</dcterms:created>
  <dcterms:modified xsi:type="dcterms:W3CDTF">2015-04-27T15:50:00Z</dcterms:modified>
</cp:coreProperties>
</file>